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521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25"/>
        <w:gridCol w:w="766"/>
        <w:gridCol w:w="4848"/>
        <w:gridCol w:w="178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楷体" w:hAnsi="楷体" w:eastAsia="楷体" w:cs="楷体"/>
                <w:b/>
                <w:color w:val="auto"/>
                <w:spacing w:val="0"/>
                <w:position w:val="0"/>
                <w:sz w:val="22"/>
                <w:shd w:val="clear" w:fill="auto"/>
              </w:rPr>
              <w:t>评审项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楷体" w:hAnsi="楷体" w:eastAsia="楷体" w:cs="楷体"/>
                <w:b/>
                <w:color w:val="auto"/>
                <w:spacing w:val="0"/>
                <w:position w:val="0"/>
                <w:sz w:val="22"/>
                <w:shd w:val="clear" w:fill="auto"/>
              </w:rPr>
              <w:t>分值</w:t>
            </w:r>
          </w:p>
        </w:tc>
        <w:tc>
          <w:tcPr>
            <w:tcW w:w="4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楷体" w:hAnsi="楷体" w:eastAsia="楷体" w:cs="楷体"/>
                <w:b/>
                <w:color w:val="auto"/>
                <w:spacing w:val="0"/>
                <w:position w:val="0"/>
                <w:sz w:val="22"/>
                <w:shd w:val="clear" w:fill="auto"/>
              </w:rPr>
              <w:t>评分标准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楷体" w:hAnsi="楷体" w:eastAsia="楷体" w:cs="楷体"/>
                <w:b/>
                <w:color w:val="auto"/>
                <w:spacing w:val="0"/>
                <w:position w:val="0"/>
                <w:sz w:val="22"/>
                <w:shd w:val="clear" w:fill="auto"/>
              </w:rPr>
              <w:t>得分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类似项目业绩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20</w:t>
            </w:r>
          </w:p>
        </w:tc>
        <w:tc>
          <w:tcPr>
            <w:tcW w:w="4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近三年以来</w:t>
            </w:r>
            <w:r>
              <w:rPr>
                <w:rFonts w:hint="eastAsia"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  <w:lang w:eastAsia="zh-CN"/>
              </w:rPr>
              <w:t>金融机构</w:t>
            </w: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项目承接数在</w:t>
            </w:r>
            <w:r>
              <w:rPr>
                <w:rFonts w:hint="eastAsia"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  <w:t>10</w:t>
            </w: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个（含）以上，得</w:t>
            </w:r>
            <w:r>
              <w:rPr>
                <w:rFonts w:hint="eastAsia"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  <w:t>2</w:t>
            </w: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0分。每少一个扣</w:t>
            </w:r>
            <w:r>
              <w:rPr>
                <w:rFonts w:hint="eastAsia"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  <w:t>2</w:t>
            </w: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分</w:t>
            </w:r>
            <w:r>
              <w:rPr>
                <w:rFonts w:hint="eastAsia"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  <w:lang w:eastAsia="zh-CN"/>
              </w:rPr>
              <w:t>；</w:t>
            </w: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承接项目需要提供合同原件或复印件证明。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服务团队配置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default"/>
                <w:color w:val="auto"/>
                <w:spacing w:val="0"/>
                <w:position w:val="0"/>
                <w:sz w:val="22"/>
                <w:shd w:val="clear" w:fill="auto"/>
                <w:lang w:val="en-US"/>
              </w:rPr>
            </w:pPr>
            <w:r>
              <w:rPr>
                <w:rFonts w:hint="eastAsia"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  <w:t>30</w:t>
            </w:r>
          </w:p>
        </w:tc>
        <w:tc>
          <w:tcPr>
            <w:tcW w:w="4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ilvl w:val="0"/>
                <w:numId w:val="1"/>
              </w:numPr>
              <w:spacing w:before="0" w:after="0" w:line="240" w:lineRule="auto"/>
              <w:ind w:left="0" w:right="0" w:firstLine="0"/>
              <w:jc w:val="left"/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项目总顾问10年以上行业经验，擅长难题咨询与综合性项目组织实施得5分；每超过1年加1分，得分最高不超过</w:t>
            </w:r>
            <w:r>
              <w:rPr>
                <w:rFonts w:hint="eastAsia"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  <w:t>10</w:t>
            </w: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分；未达到6年年限要求的不得分。提供项目老师最早参与项目资料进行佐证。未提供的不得分。</w:t>
            </w:r>
          </w:p>
          <w:p>
            <w:pPr>
              <w:widowControl w:val="0"/>
              <w:numPr>
                <w:ilvl w:val="0"/>
                <w:numId w:val="1"/>
              </w:numPr>
              <w:spacing w:before="100" w:after="100" w:line="240" w:lineRule="auto"/>
              <w:ind w:left="0" w:right="0" w:firstLine="0"/>
              <w:jc w:val="left"/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项目实施过程中专业老师不低于3名得5分，项目期间老师不得随意更换且需有相关经验（提供佐证）。老师达不到3人不得分，老师项目经验需要提供参与项目资料，未提供的不得分。</w:t>
            </w:r>
          </w:p>
          <w:p>
            <w:pPr>
              <w:widowControl w:val="0"/>
              <w:numPr>
                <w:ilvl w:val="0"/>
                <w:numId w:val="1"/>
              </w:numPr>
              <w:spacing w:before="100" w:after="100" w:line="240" w:lineRule="auto"/>
              <w:ind w:left="0" w:right="0" w:firstLine="0"/>
              <w:jc w:val="left"/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执行团队带队老师：</w:t>
            </w:r>
            <w:r>
              <w:rPr>
                <w:rFonts w:hint="eastAsia"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  <w:t>8</w:t>
            </w: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年以上行业经验，100天以上项目经验，熟练掌握项目方案内容及技能得</w:t>
            </w:r>
            <w:r>
              <w:rPr>
                <w:rFonts w:hint="eastAsia"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  <w:t>5</w:t>
            </w: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分，每多一年行业经验加1分，得分不超过</w:t>
            </w:r>
            <w:r>
              <w:rPr>
                <w:rFonts w:hint="eastAsia"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  <w:t>10</w:t>
            </w: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分。未达到</w:t>
            </w:r>
            <w:r>
              <w:rPr>
                <w:rFonts w:hint="eastAsia"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  <w:t>8</w:t>
            </w: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年年限要求的不得分。提供团队老师参与项目资料，未提供的不得分。</w:t>
            </w:r>
          </w:p>
          <w:p>
            <w:pPr>
              <w:widowControl w:val="0"/>
              <w:numPr>
                <w:ilvl w:val="0"/>
                <w:numId w:val="1"/>
              </w:numPr>
              <w:spacing w:before="100" w:after="100" w:line="240" w:lineRule="auto"/>
              <w:ind w:left="0" w:right="0" w:firstLine="0"/>
              <w:jc w:val="left"/>
              <w:rPr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项目咨询规划期，项目总顾问及执行团队带队老师共同参与得5分。未共同参与扣2分。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 w:val="0"/>
              <w:spacing w:before="100" w:after="10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项目实施方案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default" w:eastAsia="楷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  <w:r>
              <w:rPr>
                <w:rFonts w:hint="eastAsia" w:eastAsia="楷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  <w:t>30</w:t>
            </w:r>
          </w:p>
        </w:tc>
        <w:tc>
          <w:tcPr>
            <w:tcW w:w="4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hint="eastAsia"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  <w:lang w:eastAsia="zh-CN"/>
              </w:rPr>
              <w:t>方案要求按照项目模型进行汇报，围绕团队执行力打造，长期高成本存款的结构调整，网点的一行一策，过程的督导执行等方面进行阐述，</w:t>
            </w: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根据投标人提供的实施方案，从全面性、科学性、合理性、可操作性、方案思路是否清晰、方案是否具有针对性、方案环节是否完整、是否有先进的服务理念及特色服务响应措施等方面进行综合打分，最高得</w:t>
            </w:r>
            <w:r>
              <w:rPr>
                <w:rFonts w:hint="eastAsia"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  <w:t>30</w:t>
            </w: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分，最低得0分。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项目报价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hint="eastAsia"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  <w:t>2</w:t>
            </w: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0</w:t>
            </w:r>
          </w:p>
        </w:tc>
        <w:tc>
          <w:tcPr>
            <w:tcW w:w="4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hint="eastAsia"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  <w:lang w:eastAsia="zh-CN"/>
              </w:rPr>
              <w:t>基础项目款</w:t>
            </w: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价格分统一采用低价优先法计算，即满足文件要求且</w:t>
            </w:r>
            <w:bookmarkStart w:id="0" w:name="_GoBack"/>
            <w:bookmarkEnd w:id="0"/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最后报价最低的投标人的价格为基准价，其价格为满分</w:t>
            </w:r>
            <w:r>
              <w:rPr>
                <w:rFonts w:hint="eastAsia"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  <w:lang w:eastAsia="zh-CN"/>
              </w:rPr>
              <w:t>；</w:t>
            </w:r>
            <w:r>
              <w:rPr>
                <w:rFonts w:hint="eastAsia"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  <w:lang w:eastAsia="zh-CN"/>
              </w:rPr>
              <w:t>基础项目款报价超过最高限价的为废标</w:t>
            </w: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。其他投标人的价格分统一按照下列公式计算：报价得分=(基准价/投标人最终报价)*</w:t>
            </w:r>
            <w:r>
              <w:rPr>
                <w:rFonts w:hint="eastAsia"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  <w:t>2</w:t>
            </w:r>
            <w:r>
              <w:rPr>
                <w:rFonts w:ascii="楷体" w:hAnsi="楷体" w:eastAsia="楷体" w:cs="楷体"/>
                <w:color w:val="auto"/>
                <w:spacing w:val="0"/>
                <w:position w:val="0"/>
                <w:sz w:val="22"/>
                <w:shd w:val="clear" w:fill="auto"/>
              </w:rPr>
              <w:t>0。</w:t>
            </w:r>
          </w:p>
        </w:tc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</w:tbl>
    <w:p>
      <w:pPr>
        <w:widowControl w:val="0"/>
        <w:spacing w:before="100" w:after="100" w:line="24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16F66551"/>
    <w:rsid w:val="1B3C173F"/>
    <w:rsid w:val="276D725D"/>
    <w:rsid w:val="48DB42DF"/>
    <w:rsid w:val="51E55C99"/>
    <w:rsid w:val="62000ACB"/>
    <w:rsid w:val="72DC3AFD"/>
    <w:rsid w:val="77D249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6</TotalTime>
  <ScaleCrop>false</ScaleCrop>
  <LinksUpToDate>false</LinksUpToDate>
  <Application>WPS Office_11.8.2.11813_F1E327BC-269C-435d-A152-05C5408002CA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2023-11-29T01:29:00Z</dcterms:created>
  <dc:creator>Administrator</dc:creator>
  <cp:lastModifiedBy>Administrator</cp:lastModifiedBy>
  <cp:lastPrinted>2023-11-29T01:51:00Z</cp:lastPrinted>
  <dcterms:modified xsi:type="dcterms:W3CDTF">2024-11-14T06:24:39Z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87C54F6067A14B55A600B5769D7F8B6F</vt:lpwstr>
  </property>
</Properties>
</file>